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sz w:val="32"/>
        </w:rPr>
      </w:pPr>
      <w:r>
        <w:rPr>
          <w:rFonts w:ascii="黑体" w:hAnsi="黑体" w:eastAsia="黑体"/>
          <w:sz w:val="32"/>
        </w:rPr>
        <w:t>附</w:t>
      </w:r>
      <w:r>
        <w:rPr>
          <w:rFonts w:hint="eastAsia" w:ascii="黑体" w:hAnsi="黑体" w:eastAsia="黑体"/>
          <w:sz w:val="32"/>
        </w:rPr>
        <w:t>件3</w:t>
      </w:r>
    </w:p>
    <w:p>
      <w:pPr>
        <w:keepNext w:val="0"/>
        <w:keepLines w:val="0"/>
        <w:pageBreakBefore w:val="0"/>
        <w:widowControl w:val="0"/>
        <w:kinsoku/>
        <w:wordWrap/>
        <w:overflowPunct/>
        <w:topLinePunct w:val="0"/>
        <w:autoSpaceDE/>
        <w:autoSpaceDN/>
        <w:bidi w:val="0"/>
        <w:adjustRightInd/>
        <w:snapToGrid/>
        <w:spacing w:line="600" w:lineRule="exact"/>
        <w:ind w:firstLine="1440" w:firstLineChars="400"/>
        <w:textAlignment w:val="auto"/>
        <w:rPr>
          <w:rFonts w:hint="eastAsia" w:ascii="华文中宋" w:hAnsi="华文中宋" w:eastAsia="华文中宋" w:cs="华文中宋"/>
          <w:b/>
          <w:bCs/>
          <w:sz w:val="36"/>
          <w:szCs w:val="36"/>
        </w:rPr>
      </w:pPr>
      <w:r>
        <w:rPr>
          <w:rFonts w:hint="eastAsia" w:ascii="方正小标宋简体" w:hAnsi="方正小标宋简体" w:eastAsia="方正小标宋简体" w:cs="方正小标宋简体"/>
          <w:b w:val="0"/>
          <w:bCs w:val="0"/>
          <w:sz w:val="36"/>
          <w:szCs w:val="36"/>
        </w:rPr>
        <w:t>人工智能项目活动材料包提交须知</w:t>
      </w:r>
      <w:bookmarkStart w:id="0" w:name="_GoBack"/>
      <w:bookmarkEnd w:id="0"/>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一、活动材料包清单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各市州于10月20日前登录湖北省教育资源公共服务平台-湖北教育云（http://www.hbeducloud.com）报名，并上传活动作品材料压缩包，主要包含以下内容：</w:t>
      </w:r>
    </w:p>
    <w:tbl>
      <w:tblPr>
        <w:tblStyle w:val="2"/>
        <w:tblW w:w="9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3909"/>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440" w:type="dxa"/>
            <w:tcBorders>
              <w:top w:val="single" w:color="auto" w:sz="4" w:space="0"/>
              <w:left w:val="single" w:color="auto" w:sz="4" w:space="0"/>
            </w:tcBorders>
            <w:noWrap w:val="0"/>
            <w:vAlign w:val="center"/>
          </w:tcPr>
          <w:p>
            <w:pPr>
              <w:spacing w:line="480" w:lineRule="exact"/>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文件类型</w:t>
            </w:r>
          </w:p>
        </w:tc>
        <w:tc>
          <w:tcPr>
            <w:tcW w:w="3909" w:type="dxa"/>
            <w:tcBorders>
              <w:top w:val="single" w:color="auto" w:sz="4" w:space="0"/>
            </w:tcBorders>
            <w:noWrap w:val="0"/>
            <w:vAlign w:val="center"/>
          </w:tcPr>
          <w:p>
            <w:pPr>
              <w:spacing w:line="480" w:lineRule="exact"/>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对文件主要内容的要求</w:t>
            </w:r>
          </w:p>
        </w:tc>
        <w:tc>
          <w:tcPr>
            <w:tcW w:w="4129" w:type="dxa"/>
            <w:tcBorders>
              <w:top w:val="single" w:color="auto" w:sz="4" w:space="0"/>
              <w:right w:val="single" w:color="auto" w:sz="4" w:space="0"/>
            </w:tcBorders>
            <w:noWrap w:val="0"/>
            <w:vAlign w:val="center"/>
          </w:tcPr>
          <w:p>
            <w:pPr>
              <w:spacing w:line="480" w:lineRule="exact"/>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对文件扩展名和格式的要求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440" w:type="dxa"/>
            <w:tcBorders>
              <w:left w:val="single" w:color="auto" w:sz="4" w:space="0"/>
            </w:tcBorders>
            <w:noWrap w:val="0"/>
            <w:vAlign w:val="center"/>
          </w:tcPr>
          <w:p>
            <w:pPr>
              <w:spacing w:line="480" w:lineRule="exact"/>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文本</w:t>
            </w:r>
          </w:p>
        </w:tc>
        <w:tc>
          <w:tcPr>
            <w:tcW w:w="390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参赛策略及设计思路、参赛设备正面、侧面、重点结构和主控设备清晰可辨的机器码照片。</w:t>
            </w:r>
          </w:p>
        </w:tc>
        <w:tc>
          <w:tcPr>
            <w:tcW w:w="4129" w:type="dxa"/>
            <w:tcBorders>
              <w:right w:val="single" w:color="auto" w:sz="4" w:space="0"/>
            </w:tcBorders>
            <w:noWrap w:val="0"/>
            <w:vAlign w:val="center"/>
          </w:tcPr>
          <w:p>
            <w:pPr>
              <w:spacing w:line="480" w:lineRule="exact"/>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.wps或.doc、.docx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jc w:val="center"/>
        </w:trPr>
        <w:tc>
          <w:tcPr>
            <w:tcW w:w="1440" w:type="dxa"/>
            <w:tcBorders>
              <w:left w:val="single" w:color="auto" w:sz="4" w:space="0"/>
            </w:tcBorders>
            <w:noWrap w:val="0"/>
            <w:vAlign w:val="center"/>
          </w:tcPr>
          <w:p>
            <w:pPr>
              <w:spacing w:line="480" w:lineRule="exact"/>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源程序</w:t>
            </w:r>
          </w:p>
        </w:tc>
        <w:tc>
          <w:tcPr>
            <w:tcW w:w="3909" w:type="dxa"/>
            <w:noWrap w:val="0"/>
            <w:vAlign w:val="center"/>
          </w:tcPr>
          <w:p>
            <w:pPr>
              <w:spacing w:line="480" w:lineRule="exact"/>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可运行的源程序代码及相应注释。</w:t>
            </w:r>
          </w:p>
        </w:tc>
        <w:tc>
          <w:tcPr>
            <w:tcW w:w="4129"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参赛设备对应主控器的源程序代码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exact"/>
          <w:jc w:val="center"/>
        </w:trPr>
        <w:tc>
          <w:tcPr>
            <w:tcW w:w="1440" w:type="dxa"/>
            <w:tcBorders>
              <w:left w:val="single" w:color="auto" w:sz="4" w:space="0"/>
            </w:tcBorders>
            <w:noWrap w:val="0"/>
            <w:vAlign w:val="center"/>
          </w:tcPr>
          <w:p>
            <w:pPr>
              <w:spacing w:line="480" w:lineRule="exact"/>
              <w:jc w:val="center"/>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视频</w:t>
            </w:r>
          </w:p>
        </w:tc>
        <w:tc>
          <w:tcPr>
            <w:tcW w:w="390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完整的参赛视频，选手需清晰展示参赛设备机器码，程序运行过程必须录制完整，不得剪辑。</w:t>
            </w:r>
          </w:p>
        </w:tc>
        <w:tc>
          <w:tcPr>
            <w:tcW w:w="4129" w:type="dxa"/>
            <w:tcBorders>
              <w:right w:val="single" w:color="auto" w:sz="4" w:space="0"/>
            </w:tcBorders>
            <w:noWrap w:val="0"/>
            <w:vAlign w:val="center"/>
          </w:tcPr>
          <w:p>
            <w:pPr>
              <w:spacing w:line="480" w:lineRule="exact"/>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.mp4或.mov(视频编码采用h.264、音频采用AAC编码器，大小不超过100M)</w:t>
            </w:r>
          </w:p>
        </w:tc>
      </w:tr>
    </w:tbl>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材料压缩包“文件夹”须统一格式，只能使用一级文件夹（即该级文件夹内不能再建文件夹），文件夹命名为“学校名称-参展学生姓名-项目名称”，文件夹内存放：1-视频；2-说明文档；3-源程序；4-参展学生照片；5-报名表，6-其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二、具体要求及建议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提交的文档包括需要描述整个活动过程及软硬件环境，还应较详细的描述参赛设备的设计思路，体现出硬件结构的设计特点，并配上相应的图片。需要编写程序的赛项，在程序设计说明部分要突出整个算法的框架和流程，展示算法有哪些创新性和亮点。此外需将参赛设备的机器码照片附在文档中，一个机器码只能参加一个队的展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拍摄视频的过程中注意保证环境光线的亮度、拍摄的清晰度和稳定性，环境光较暗时，可以利用辅助光源进行补光。选手需在展示活动开始前手持参赛设备入镜自我介绍（学校名、姓名、展示交流项目以及组别），介绍完毕后，在摄像头前清晰展示参赛设备机器码或特定的标识，随后选手将参赛设备放置于活动场地启动区域，开始运行程序。在拍摄参赛设备运行过程时，要求利用手机（摄像机）尽量从俯视角度俯拍参赛设备从出发区开始在场地上自主运行完成任务的完整视频。该段视频须真实完整，不得剪辑，拍摄的画面中应始终显示计时器，显示精度为0.01秒，选手可以同时进行解说。</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3D One云梯挑战赛不需要提供源程序代码。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整理所有提交的文档，仔细检查后存入相应的文件夹中，压缩打包，经查杀计算机病毒后，在规定的时间内提交。全部文件（作品文件、报名表电子版及扫描版）大小压缩包不超过200MB</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三、项目规则说明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优创未来普及赛、RoboMaster 机甲大师青少年对抗赛、ENJOY AI普及赛活动、3D One云梯挑战赛、GAR人工智能创新挑战赛的活动规则按各项目的规则实施，具体细则以省教育云平台发布的为准。（ http://www.hbeducloud.com）。</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altName w:val="仿宋_GB2312"/>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D240E7"/>
    <w:rsid w:val="2DD24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2021-09-22T01:40:00Z</dcterms:created>
  <dc:creator>姜新华</dc:creator>
  <cp:lastModifiedBy>姜新华</cp:lastModifiedBy>
  <dcterms:modified xsi:type="dcterms:W3CDTF">2021-09-22T01:41:48Z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D2FE5712E5094E668F0C23A3E98E3BBB</vt:lpwstr>
  </property>
</Properties>
</file>